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054A3" w:rsidRPr="00F47CF4" w:rsidRDefault="008054A3" w:rsidP="00CB64F0">
      <w:pPr>
        <w:pStyle w:val="Didefault"/>
        <w:rPr>
          <w:rFonts w:ascii="Garamond" w:hAnsi="Garamond" w:cs="Garamond"/>
          <w:iCs/>
          <w:color w:val="CE665F"/>
        </w:rPr>
      </w:pPr>
    </w:p>
    <w:p w:rsidR="0058703D" w:rsidRPr="00F47CF4" w:rsidRDefault="0058703D" w:rsidP="00CB64F0">
      <w:pPr>
        <w:pStyle w:val="Didefault"/>
        <w:rPr>
          <w:rFonts w:ascii="Garamond" w:hAnsi="Garamond" w:cs="Garamond"/>
          <w:iCs/>
          <w:color w:val="CE665F"/>
        </w:rPr>
      </w:pPr>
    </w:p>
    <w:p w:rsidR="00F47CF4" w:rsidRPr="00F47CF4" w:rsidRDefault="00F47CF4" w:rsidP="00CB64F0">
      <w:pPr>
        <w:pStyle w:val="Didefault"/>
        <w:rPr>
          <w:rFonts w:ascii="Garamond" w:hAnsi="Garamond" w:cs="Garamond"/>
          <w:iCs/>
          <w:color w:val="CE665F"/>
        </w:rPr>
      </w:pPr>
    </w:p>
    <w:p w:rsidR="00770B74" w:rsidRPr="00F47CF4" w:rsidRDefault="0062790E" w:rsidP="00CB64F0">
      <w:pPr>
        <w:pStyle w:val="Didefault"/>
        <w:rPr>
          <w:rFonts w:asciiTheme="minorHAnsi" w:hAnsiTheme="minorHAnsi" w:cstheme="minorHAnsi"/>
          <w:b/>
          <w:iCs/>
          <w:color w:val="EDB413"/>
          <w:sz w:val="28"/>
          <w:szCs w:val="28"/>
        </w:rPr>
      </w:pPr>
      <w:r w:rsidRPr="00F47CF4">
        <w:rPr>
          <w:rFonts w:asciiTheme="minorHAnsi" w:hAnsiTheme="minorHAnsi" w:cstheme="minorHAnsi"/>
          <w:b/>
          <w:iCs/>
          <w:color w:val="EDB413"/>
          <w:sz w:val="28"/>
          <w:szCs w:val="28"/>
        </w:rPr>
        <w:t>Manual de estilo Chicago: ejemplos</w:t>
      </w:r>
    </w:p>
    <w:p w:rsidR="0062790E" w:rsidRPr="00F47CF4" w:rsidRDefault="0062790E" w:rsidP="00CB64F0">
      <w:pPr>
        <w:pStyle w:val="Didefault"/>
        <w:rPr>
          <w:rFonts w:asciiTheme="minorHAnsi" w:hAnsiTheme="minorHAnsi" w:cstheme="minorHAnsi"/>
          <w:iCs/>
          <w:color w:val="auto"/>
        </w:rPr>
      </w:pPr>
      <w:r w:rsidRPr="00F47CF4">
        <w:rPr>
          <w:rFonts w:asciiTheme="minorHAnsi" w:hAnsiTheme="minorHAnsi" w:cstheme="minorHAnsi"/>
          <w:iCs/>
          <w:color w:val="auto"/>
        </w:rPr>
        <w:t>A continuación</w:t>
      </w:r>
      <w:r w:rsidR="009358E9" w:rsidRPr="00F47CF4">
        <w:rPr>
          <w:rFonts w:asciiTheme="minorHAnsi" w:hAnsiTheme="minorHAnsi" w:cstheme="minorHAnsi"/>
          <w:iCs/>
          <w:color w:val="auto"/>
        </w:rPr>
        <w:t>,</w:t>
      </w:r>
      <w:r w:rsidRPr="00F47CF4">
        <w:rPr>
          <w:rFonts w:asciiTheme="minorHAnsi" w:hAnsiTheme="minorHAnsi" w:cstheme="minorHAnsi"/>
          <w:iCs/>
          <w:color w:val="auto"/>
        </w:rPr>
        <w:t xml:space="preserve"> se detalla</w:t>
      </w:r>
      <w:r w:rsidR="009358E9" w:rsidRPr="00F47CF4">
        <w:rPr>
          <w:rFonts w:asciiTheme="minorHAnsi" w:hAnsiTheme="minorHAnsi" w:cstheme="minorHAnsi"/>
          <w:iCs/>
          <w:color w:val="auto"/>
        </w:rPr>
        <w:t xml:space="preserve"> </w:t>
      </w:r>
      <w:r w:rsidRPr="00F47CF4">
        <w:rPr>
          <w:rFonts w:asciiTheme="minorHAnsi" w:hAnsiTheme="minorHAnsi" w:cstheme="minorHAnsi"/>
          <w:iCs/>
          <w:color w:val="auto"/>
        </w:rPr>
        <w:t>mediante ejemplos</w:t>
      </w:r>
      <w:r w:rsidR="009358E9" w:rsidRPr="00F47CF4">
        <w:rPr>
          <w:rFonts w:asciiTheme="minorHAnsi" w:hAnsiTheme="minorHAnsi" w:cstheme="minorHAnsi"/>
          <w:iCs/>
          <w:color w:val="auto"/>
        </w:rPr>
        <w:t xml:space="preserve"> có</w:t>
      </w:r>
      <w:r w:rsidRPr="00F47CF4">
        <w:rPr>
          <w:rFonts w:asciiTheme="minorHAnsi" w:hAnsiTheme="minorHAnsi" w:cstheme="minorHAnsi"/>
          <w:iCs/>
          <w:color w:val="auto"/>
        </w:rPr>
        <w:t>mo citar</w:t>
      </w:r>
      <w:r w:rsidR="00832219" w:rsidRPr="00F47CF4">
        <w:rPr>
          <w:rFonts w:asciiTheme="minorHAnsi" w:hAnsiTheme="minorHAnsi" w:cstheme="minorHAnsi"/>
          <w:iCs/>
          <w:color w:val="auto"/>
        </w:rPr>
        <w:t xml:space="preserve"> </w:t>
      </w:r>
      <w:r w:rsidR="009358E9" w:rsidRPr="00F47CF4">
        <w:rPr>
          <w:rFonts w:asciiTheme="minorHAnsi" w:hAnsiTheme="minorHAnsi" w:cstheme="minorHAnsi"/>
          <w:iCs/>
          <w:color w:val="auto"/>
        </w:rPr>
        <w:t xml:space="preserve">en nota a pie de página </w:t>
      </w:r>
      <w:r w:rsidRPr="00F47CF4">
        <w:rPr>
          <w:rFonts w:asciiTheme="minorHAnsi" w:hAnsiTheme="minorHAnsi" w:cstheme="minorHAnsi"/>
          <w:iCs/>
          <w:color w:val="auto"/>
        </w:rPr>
        <w:t>algunas de las referencias más comunes.</w:t>
      </w:r>
    </w:p>
    <w:p w:rsidR="00A42FC0" w:rsidRPr="00F47CF4" w:rsidRDefault="00A42FC0" w:rsidP="00CB64F0">
      <w:pPr>
        <w:pStyle w:val="Didefault"/>
        <w:rPr>
          <w:rFonts w:asciiTheme="minorHAnsi" w:hAnsiTheme="minorHAnsi" w:cstheme="minorHAnsi"/>
          <w:iCs/>
          <w:color w:val="auto"/>
        </w:rPr>
      </w:pPr>
      <w:r w:rsidRPr="00F47CF4">
        <w:rPr>
          <w:rFonts w:asciiTheme="minorHAnsi" w:hAnsiTheme="minorHAnsi" w:cstheme="minorHAnsi"/>
          <w:iCs/>
          <w:color w:val="auto"/>
        </w:rPr>
        <w:t>Al final de este documento se incluye un epígrafe de notas adicionales aclaratorias.</w:t>
      </w:r>
    </w:p>
    <w:p w:rsidR="0062790E" w:rsidRPr="00F47CF4" w:rsidRDefault="0062790E" w:rsidP="00CB64F0">
      <w:pPr>
        <w:pStyle w:val="Didefault"/>
        <w:rPr>
          <w:rFonts w:asciiTheme="minorHAnsi" w:hAnsiTheme="minorHAnsi" w:cstheme="minorHAnsi"/>
          <w:lang w:val="es-ES"/>
        </w:rPr>
      </w:pPr>
      <w:r w:rsidRPr="00F47CF4">
        <w:rPr>
          <w:rFonts w:asciiTheme="minorHAnsi" w:hAnsiTheme="minorHAnsi" w:cstheme="minorHAnsi"/>
          <w:iCs/>
          <w:color w:val="auto"/>
        </w:rPr>
        <w:t xml:space="preserve">Se recuerda que el estilo Chicago prescinde de expresiones como </w:t>
      </w:r>
      <w:proofErr w:type="spellStart"/>
      <w:r w:rsidRPr="00F47CF4">
        <w:rPr>
          <w:rFonts w:asciiTheme="minorHAnsi" w:hAnsiTheme="minorHAnsi" w:cstheme="minorHAnsi"/>
          <w:i/>
          <w:lang w:val="es-ES"/>
        </w:rPr>
        <w:t>op</w:t>
      </w:r>
      <w:proofErr w:type="spellEnd"/>
      <w:r w:rsidRPr="00F47CF4">
        <w:rPr>
          <w:rFonts w:asciiTheme="minorHAnsi" w:hAnsiTheme="minorHAnsi" w:cstheme="minorHAnsi"/>
          <w:i/>
          <w:lang w:val="es-ES"/>
        </w:rPr>
        <w:t>. cit</w:t>
      </w:r>
      <w:r w:rsidRPr="00F47CF4">
        <w:rPr>
          <w:rFonts w:asciiTheme="minorHAnsi" w:hAnsiTheme="minorHAnsi" w:cstheme="minorHAnsi"/>
          <w:lang w:val="es-ES"/>
        </w:rPr>
        <w:t xml:space="preserve">., </w:t>
      </w:r>
      <w:r w:rsidRPr="00F47CF4">
        <w:rPr>
          <w:rFonts w:asciiTheme="minorHAnsi" w:hAnsiTheme="minorHAnsi" w:cstheme="minorHAnsi"/>
          <w:i/>
          <w:lang w:val="es-ES"/>
        </w:rPr>
        <w:t>id</w:t>
      </w:r>
      <w:r w:rsidRPr="00F47CF4">
        <w:rPr>
          <w:rFonts w:asciiTheme="minorHAnsi" w:hAnsiTheme="minorHAnsi" w:cstheme="minorHAnsi"/>
          <w:lang w:val="es-ES"/>
        </w:rPr>
        <w:t xml:space="preserve">. o </w:t>
      </w:r>
      <w:r w:rsidRPr="00F47CF4">
        <w:rPr>
          <w:rFonts w:asciiTheme="minorHAnsi" w:hAnsiTheme="minorHAnsi" w:cstheme="minorHAnsi"/>
          <w:i/>
          <w:lang w:val="es-ES"/>
        </w:rPr>
        <w:t>ibid</w:t>
      </w:r>
      <w:r w:rsidRPr="00F47CF4">
        <w:rPr>
          <w:rFonts w:asciiTheme="minorHAnsi" w:hAnsiTheme="minorHAnsi" w:cstheme="minorHAnsi"/>
          <w:lang w:val="es-ES"/>
        </w:rPr>
        <w:t xml:space="preserve">., y que, por tanto, es fundamental diferenciar entre la </w:t>
      </w:r>
      <w:r w:rsidRPr="00F47CF4">
        <w:rPr>
          <w:rFonts w:asciiTheme="minorHAnsi" w:hAnsiTheme="minorHAnsi" w:cstheme="minorHAnsi"/>
          <w:i/>
          <w:lang w:val="es-ES"/>
        </w:rPr>
        <w:t>referencia completa</w:t>
      </w:r>
      <w:r w:rsidRPr="00F47CF4">
        <w:rPr>
          <w:rFonts w:asciiTheme="minorHAnsi" w:hAnsiTheme="minorHAnsi" w:cstheme="minorHAnsi"/>
          <w:lang w:val="es-ES"/>
        </w:rPr>
        <w:t xml:space="preserve"> en nota a pie de página (cuando la referencia se escribe por primera vez y contiene toda la información) y la </w:t>
      </w:r>
      <w:r w:rsidRPr="00F47CF4">
        <w:rPr>
          <w:rFonts w:asciiTheme="minorHAnsi" w:hAnsiTheme="minorHAnsi" w:cstheme="minorHAnsi"/>
          <w:i/>
          <w:lang w:val="es-ES"/>
        </w:rPr>
        <w:t>referencia abreviada</w:t>
      </w:r>
      <w:r w:rsidRPr="00F47CF4">
        <w:rPr>
          <w:rFonts w:asciiTheme="minorHAnsi" w:hAnsiTheme="minorHAnsi" w:cstheme="minorHAnsi"/>
          <w:lang w:val="es-ES"/>
        </w:rPr>
        <w:t xml:space="preserve"> en nota a pie de página (cuando la referencia se incluye por segunda, tercera o enésima vez).</w:t>
      </w:r>
      <w:r w:rsidR="009358E9" w:rsidRPr="00F47CF4">
        <w:rPr>
          <w:rFonts w:asciiTheme="minorHAnsi" w:hAnsiTheme="minorHAnsi" w:cstheme="minorHAnsi"/>
          <w:lang w:val="es-ES"/>
        </w:rPr>
        <w:t xml:space="preserve"> A ello atienden los siguientes ejemplos.</w:t>
      </w:r>
    </w:p>
    <w:p w:rsidR="009358E9" w:rsidRPr="00F47CF4" w:rsidRDefault="009358E9" w:rsidP="00CB64F0">
      <w:pPr>
        <w:pStyle w:val="Didefault"/>
        <w:rPr>
          <w:rFonts w:asciiTheme="minorHAnsi" w:hAnsiTheme="minorHAnsi" w:cstheme="minorHAnsi"/>
          <w:b/>
          <w:iCs/>
          <w:color w:val="C5A95B"/>
        </w:rPr>
      </w:pPr>
    </w:p>
    <w:p w:rsidR="009358E9" w:rsidRPr="00F47CF4" w:rsidRDefault="009358E9" w:rsidP="00CB64F0">
      <w:pPr>
        <w:pStyle w:val="Didefault"/>
        <w:rPr>
          <w:rFonts w:asciiTheme="minorHAnsi" w:hAnsiTheme="minorHAnsi" w:cstheme="minorHAnsi"/>
          <w:color w:val="auto"/>
          <w:lang w:val="es-ES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Libro con un autor</w:t>
      </w:r>
    </w:p>
    <w:p w:rsidR="009358E9" w:rsidRPr="00F47CF4" w:rsidRDefault="009358E9" w:rsidP="00CB64F0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358E9" w:rsidRPr="00F47CF4" w:rsidRDefault="009358E9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Lluís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Duch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Mito, interpretación y cultura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(Barcelona: Herder, 1998), 56-58.</w:t>
      </w:r>
    </w:p>
    <w:p w:rsidR="009358E9" w:rsidRPr="00F47CF4" w:rsidRDefault="009358E9" w:rsidP="00CB64F0">
      <w:pPr>
        <w:pStyle w:val="Prrafodelista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358E9" w:rsidRDefault="009358E9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Duch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Mito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 15.</w:t>
      </w:r>
    </w:p>
    <w:p w:rsidR="00123A06" w:rsidRPr="00123A06" w:rsidRDefault="00123A06" w:rsidP="00CB64F0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</w:pPr>
      <w:r w:rsidRPr="00123A0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Si se trata de un libro traducido, véase en la página siguiente "Libro con autor y traductor".</w:t>
      </w:r>
    </w:p>
    <w:p w:rsidR="009358E9" w:rsidRPr="00F47CF4" w:rsidRDefault="009358E9" w:rsidP="00CB64F0">
      <w:pPr>
        <w:pStyle w:val="Didefault"/>
        <w:rPr>
          <w:rFonts w:asciiTheme="minorHAnsi" w:hAnsiTheme="minorHAnsi" w:cstheme="minorHAnsi"/>
          <w:iCs/>
          <w:color w:val="auto"/>
        </w:rPr>
      </w:pPr>
    </w:p>
    <w:p w:rsidR="009358E9" w:rsidRPr="00F47CF4" w:rsidRDefault="009358E9" w:rsidP="00CB64F0">
      <w:pPr>
        <w:pStyle w:val="Didefault"/>
        <w:rPr>
          <w:rFonts w:asciiTheme="minorHAnsi" w:hAnsiTheme="minorHAnsi" w:cstheme="minorHAnsi"/>
          <w:b/>
          <w:iCs/>
          <w:color w:val="auto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Libro con dos o tres autores</w:t>
      </w:r>
    </w:p>
    <w:p w:rsidR="009358E9" w:rsidRPr="00F47CF4" w:rsidRDefault="009358E9" w:rsidP="00CB64F0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358E9" w:rsidRPr="00F47CF4" w:rsidRDefault="009358E9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Rafael Casado Martínez, Antonio Herrero Elordi y Juan Suárez Ávila,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Lo que no es vivienda en la vivienda social: propuesta sobre una regulación arquitectónica de los espacios anejos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(Sevilla: Consejería de Fomento y Vivienda, 2014), 8.</w:t>
      </w:r>
    </w:p>
    <w:p w:rsidR="009358E9" w:rsidRPr="00F47CF4" w:rsidRDefault="009358E9" w:rsidP="00CB64F0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358E9" w:rsidRPr="00F47CF4" w:rsidRDefault="009358E9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Casado Martínez, Herrero Elordi y Suárez Ávila,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Lo que no es vivienda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 16.</w:t>
      </w:r>
    </w:p>
    <w:p w:rsidR="009358E9" w:rsidRPr="00F47CF4" w:rsidRDefault="009358E9" w:rsidP="00CB64F0">
      <w:pPr>
        <w:pStyle w:val="Didefault"/>
        <w:rPr>
          <w:rFonts w:asciiTheme="minorHAnsi" w:hAnsiTheme="minorHAnsi" w:cstheme="minorHAnsi"/>
          <w:lang w:val="es-ES"/>
        </w:rPr>
      </w:pPr>
    </w:p>
    <w:p w:rsidR="00216088" w:rsidRPr="00F47CF4" w:rsidRDefault="00216088" w:rsidP="00CB64F0">
      <w:pPr>
        <w:pStyle w:val="Didefault"/>
        <w:rPr>
          <w:rFonts w:asciiTheme="minorHAnsi" w:hAnsiTheme="minorHAnsi" w:cstheme="minorHAnsi"/>
          <w:b/>
          <w:iCs/>
          <w:color w:val="auto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Libro con cuatro o más autores</w:t>
      </w:r>
    </w:p>
    <w:p w:rsidR="00216088" w:rsidRPr="00F47CF4" w:rsidRDefault="00216088" w:rsidP="00CB64F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Se hace uso de la </w:t>
      </w:r>
      <w:r w:rsidRPr="00123A0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s-ES"/>
        </w:rPr>
        <w:t>locución latina et al.</w:t>
      </w:r>
    </w:p>
    <w:p w:rsidR="00216088" w:rsidRPr="00F47CF4" w:rsidRDefault="00216088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José Manuel Bustos Gisbert et al.,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La fosilización en el aprendizaje de segundas lenguas: el buen aprendiz 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(Salamanca: Luso-Española de Ediciones, 2006), 123.</w:t>
      </w:r>
    </w:p>
    <w:p w:rsidR="00216088" w:rsidRPr="00F47CF4" w:rsidRDefault="00216088" w:rsidP="00CB64F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Se hace uso de la locución latina et al.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Bustos Gisbert et al.,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La fosilización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 78.</w:t>
      </w:r>
    </w:p>
    <w:p w:rsidR="009031D4" w:rsidRPr="00F47CF4" w:rsidRDefault="009031D4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color w:val="C5A95B"/>
          <w:kern w:val="2"/>
          <w:sz w:val="22"/>
          <w:szCs w:val="22"/>
          <w:u w:color="000000"/>
          <w:lang w:val="it-IT" w:eastAsia="zh-CN" w:bidi="hi-IN"/>
        </w:rPr>
      </w:pP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Libro con editor(es), compilador(es) o coordinador(es) en lugar de autor</w:t>
      </w:r>
    </w:p>
    <w:p w:rsidR="00216088" w:rsidRPr="00F47CF4" w:rsidRDefault="00216088" w:rsidP="00CB64F0">
      <w:pPr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Según el caso, se empleará la abreviatura: ed., eds., </w:t>
      </w:r>
      <w:proofErr w:type="spellStart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comp.</w:t>
      </w:r>
      <w:proofErr w:type="spellEnd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comps</w:t>
      </w:r>
      <w:proofErr w:type="spellEnd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., coord., </w:t>
      </w:r>
      <w:proofErr w:type="spellStart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coords</w:t>
      </w:r>
      <w:proofErr w:type="spellEnd"/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.</w:t>
      </w:r>
    </w:p>
    <w:p w:rsidR="00216088" w:rsidRPr="00F47CF4" w:rsidRDefault="00216088" w:rsidP="00CB64F0">
      <w:pPr>
        <w:pStyle w:val="Prrafodelista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Antonio Notario Ruiz, ed.,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Contrapuntos estéticos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(Salamanca: Ediciones Universidad de Salamanca, 2005), 55.</w:t>
      </w:r>
    </w:p>
    <w:p w:rsidR="00216088" w:rsidRPr="00F47CF4" w:rsidRDefault="00216088" w:rsidP="00CB64F0">
      <w:pPr>
        <w:pStyle w:val="Prrafodelista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Notario Ruiz,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Contrapuntos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23.</w:t>
      </w: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Libro con autor y editor</w:t>
      </w:r>
    </w:p>
    <w:p w:rsidR="00216088" w:rsidRPr="00F47CF4" w:rsidRDefault="00216088" w:rsidP="00CB64F0">
      <w:pPr>
        <w:pStyle w:val="Prrafodelista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Salvador Fernández Ramírez,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La enseñanza de la gramática y la literatura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ed. por José Polo (Madrid: Arco/Libros, 1985), 145-146.</w:t>
      </w:r>
    </w:p>
    <w:p w:rsidR="00216088" w:rsidRPr="00F47CF4" w:rsidRDefault="00216088" w:rsidP="00CB64F0">
      <w:pPr>
        <w:pStyle w:val="Prrafodelista"/>
        <w:numPr>
          <w:ilvl w:val="0"/>
          <w:numId w:val="5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Fernández Ramírez,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La enseñanza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 33.</w:t>
      </w:r>
    </w:p>
    <w:p w:rsidR="00123A06" w:rsidRPr="00123A06" w:rsidRDefault="00123A06" w:rsidP="00CB64F0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216088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lastRenderedPageBreak/>
        <w:t>Libro con autor y traductor</w:t>
      </w:r>
    </w:p>
    <w:p w:rsidR="00123A06" w:rsidRPr="00F47CF4" w:rsidRDefault="00123A06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>
        <w:rPr>
          <w:rFonts w:asciiTheme="minorHAnsi" w:hAnsiTheme="minorHAnsi" w:cstheme="minorHAnsi"/>
          <w:color w:val="7F7F7F"/>
          <w:sz w:val="22"/>
          <w:szCs w:val="22"/>
          <w:lang w:val="es-ES"/>
        </w:rPr>
        <w:t>Las referencias a libros traducidos deben mencionar el traductor</w:t>
      </w:r>
      <w:r w:rsidR="003003D5">
        <w:rPr>
          <w:rFonts w:asciiTheme="minorHAnsi" w:hAnsiTheme="minorHAnsi" w:cstheme="minorHAnsi"/>
          <w:color w:val="7F7F7F"/>
          <w:sz w:val="22"/>
          <w:szCs w:val="22"/>
          <w:lang w:val="es-ES"/>
        </w:rPr>
        <w:t>(es)</w:t>
      </w:r>
      <w:r>
        <w:rPr>
          <w:rFonts w:asciiTheme="minorHAnsi" w:hAnsiTheme="minorHAnsi" w:cstheme="minorHAnsi"/>
          <w:color w:val="7F7F7F"/>
          <w:sz w:val="22"/>
          <w:szCs w:val="22"/>
          <w:lang w:val="es-ES"/>
        </w:rPr>
        <w:t>.</w:t>
      </w:r>
    </w:p>
    <w:p w:rsidR="00216088" w:rsidRPr="00F47CF4" w:rsidRDefault="00216088" w:rsidP="00CB64F0">
      <w:pPr>
        <w:pStyle w:val="Prrafodelista"/>
        <w:numPr>
          <w:ilvl w:val="0"/>
          <w:numId w:val="6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Bruno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Zevi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Saber ver la arquitectura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trad. por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Cino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Calcaprina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y Jesús Bermejo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Goday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(Barcelona: Poseidón, 1991), 62.</w:t>
      </w:r>
    </w:p>
    <w:p w:rsidR="00216088" w:rsidRPr="00F47CF4" w:rsidRDefault="00216088" w:rsidP="00CB64F0">
      <w:pPr>
        <w:pStyle w:val="Prrafodelista"/>
        <w:numPr>
          <w:ilvl w:val="0"/>
          <w:numId w:val="6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Zevi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Saber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…, 74.</w:t>
      </w: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Libro electrónico</w:t>
      </w:r>
    </w:p>
    <w:p w:rsidR="00216088" w:rsidRPr="00F47CF4" w:rsidRDefault="00216088" w:rsidP="00CB64F0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Si no existen números de páginas, se puede incluir el título de sección o capítulo u otro dato identificativo.</w:t>
      </w:r>
    </w:p>
    <w:p w:rsidR="00216088" w:rsidRPr="00F47CF4" w:rsidRDefault="00216088" w:rsidP="00CB64F0">
      <w:pPr>
        <w:pStyle w:val="Prrafodelista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Jane Austen,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Pride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and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Prejudice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(Nueva York: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Penguin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Classics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>, 2008), edición en PDF, cap. 23.</w:t>
      </w:r>
    </w:p>
    <w:p w:rsidR="00216088" w:rsidRPr="00F47CF4" w:rsidRDefault="00216088" w:rsidP="00CB64F0">
      <w:pPr>
        <w:pStyle w:val="Prrafodelista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</w:rPr>
      </w:pPr>
      <w:r w:rsidRPr="00F47CF4">
        <w:rPr>
          <w:rFonts w:asciiTheme="minorHAnsi" w:hAnsiTheme="minorHAnsi" w:cstheme="minorHAnsi"/>
          <w:sz w:val="22"/>
          <w:szCs w:val="22"/>
        </w:rPr>
        <w:t xml:space="preserve">Austen, </w:t>
      </w:r>
      <w:r w:rsidRPr="00F47CF4">
        <w:rPr>
          <w:rFonts w:asciiTheme="minorHAnsi" w:hAnsiTheme="minorHAnsi" w:cstheme="minorHAnsi"/>
          <w:i/>
          <w:sz w:val="22"/>
          <w:szCs w:val="22"/>
        </w:rPr>
        <w:t>Pride and Prejudice</w:t>
      </w:r>
      <w:r w:rsidRPr="00F47CF4">
        <w:rPr>
          <w:rFonts w:asciiTheme="minorHAnsi" w:hAnsiTheme="minorHAnsi" w:cstheme="minorHAnsi"/>
          <w:sz w:val="22"/>
          <w:szCs w:val="22"/>
        </w:rPr>
        <w:t>, cap. 23.</w:t>
      </w: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Libro consultado en línea</w:t>
      </w:r>
    </w:p>
    <w:p w:rsidR="00216088" w:rsidRPr="00F47CF4" w:rsidRDefault="00216088" w:rsidP="00CB64F0">
      <w:pPr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En los libros consultados en línea hay que añadir el URL. Si no existen números de páginas, se puede incluir el título de sección o capítulo u otro dato identificativo.</w:t>
      </w:r>
    </w:p>
    <w:p w:rsidR="00216088" w:rsidRPr="00F47CF4" w:rsidRDefault="00216088" w:rsidP="00CB64F0">
      <w:pPr>
        <w:pStyle w:val="Prrafodelista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Salvador Gutiérrez Ordóñez,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Lingüística y semántica: aproximación funcional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(Oviedo: Universidad de Oviedo, 1981), http://www.gruposincom.es/publicaciones-de-salvador-gutierrezordonez.</w:t>
      </w:r>
    </w:p>
    <w:p w:rsidR="00216088" w:rsidRPr="00F47CF4" w:rsidRDefault="00216088" w:rsidP="00CB64F0">
      <w:pPr>
        <w:pStyle w:val="Prrafodelista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16088" w:rsidRPr="00F47CF4" w:rsidRDefault="00216088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Gutiérrez Ordóñez,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Lingüística y semántica.</w:t>
      </w:r>
    </w:p>
    <w:p w:rsidR="00216088" w:rsidRPr="00F47CF4" w:rsidRDefault="00216088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16088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Capítulo de un libro editado</w:t>
      </w:r>
    </w:p>
    <w:p w:rsidR="00272607" w:rsidRPr="00F47CF4" w:rsidRDefault="00272607" w:rsidP="00CB64F0">
      <w:pPr>
        <w:pStyle w:val="Prrafodelista"/>
        <w:numPr>
          <w:ilvl w:val="0"/>
          <w:numId w:val="9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El número de página indica la localización de la cita textual o la idea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_tradnl"/>
        </w:rPr>
        <w:t xml:space="preserve"> 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dentro del capítulo.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Josefina Gómez Mendoza, </w:t>
      </w:r>
      <w:r w:rsidR="00123A06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Ecología urbana y paisaje de la ciudad</w:t>
      </w:r>
      <w:r w:rsidR="00123A06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en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La ciudad del futuro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ed. por Antonio Bonet Correa (Madrid: Instituto de España, 2009), 180.</w:t>
      </w:r>
    </w:p>
    <w:p w:rsidR="00272607" w:rsidRPr="00F47CF4" w:rsidRDefault="00272607" w:rsidP="00CB64F0">
      <w:pPr>
        <w:pStyle w:val="Prrafodelista"/>
        <w:numPr>
          <w:ilvl w:val="0"/>
          <w:numId w:val="9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El número de página indica la localización de la cita textual o la idea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_tradnl"/>
        </w:rPr>
        <w:t xml:space="preserve"> 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dentro del capítulo.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Gómez Mendoza, </w:t>
      </w:r>
      <w:r w:rsidR="00123A06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Ecología urbana…</w:t>
      </w:r>
      <w:r w:rsidR="00123A06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178.</w:t>
      </w: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Artículo de revista impresa</w:t>
      </w:r>
    </w:p>
    <w:p w:rsidR="00272607" w:rsidRPr="00F47CF4" w:rsidRDefault="00272607" w:rsidP="00CB64F0">
      <w:pPr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Estos ejemplos incluyen el número del volumen y el de la entrega. El número del volumen (en redonda) sigue al nombre de la revista (en cursiva), sin ninguna puntuación entre ambos.</w:t>
      </w:r>
    </w:p>
    <w:p w:rsidR="00272607" w:rsidRPr="00F47CF4" w:rsidRDefault="00272607" w:rsidP="00CB64F0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El número de página indica la localización de la cita textual o la idea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_tradnl"/>
        </w:rPr>
        <w:t xml:space="preserve"> 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dentro del artículo.</w:t>
      </w:r>
    </w:p>
    <w:p w:rsidR="00272607" w:rsidRPr="00F47CF4" w:rsidRDefault="00272607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María José Hernández Guerrero, </w:t>
      </w:r>
      <w:r w:rsidR="00CB64F0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Presencia y utilización de la traducción en la prensa española</w:t>
      </w:r>
      <w:r w:rsidR="00CB64F0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Meta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56, n.</w:t>
      </w:r>
      <w:r w:rsidR="00CB64F0">
        <w:rPr>
          <w:rFonts w:asciiTheme="minorHAnsi" w:hAnsiTheme="minorHAnsi" w:cstheme="minorHAnsi"/>
          <w:sz w:val="22"/>
          <w:szCs w:val="22"/>
          <w:lang w:val="es-ES"/>
        </w:rPr>
        <w:t>º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1 (2011): 112.</w:t>
      </w:r>
    </w:p>
    <w:p w:rsidR="00272607" w:rsidRPr="00F47CF4" w:rsidRDefault="00272607" w:rsidP="00CB64F0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El número de página indica la localización de la cita textual o la idea dentro del artículo.</w:t>
      </w:r>
    </w:p>
    <w:p w:rsidR="00272607" w:rsidRPr="00F47CF4" w:rsidRDefault="00272607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Hernández Guerrero, </w:t>
      </w:r>
      <w:r w:rsidR="00CB64F0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Presencia y utilización…</w:t>
      </w:r>
      <w:r w:rsidR="00CB64F0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113.</w:t>
      </w: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Artículo de revista electrónica</w:t>
      </w:r>
    </w:p>
    <w:p w:rsidR="00272607" w:rsidRPr="00F47CF4" w:rsidRDefault="00272607" w:rsidP="00CB64F0">
      <w:pPr>
        <w:pStyle w:val="Prrafodelista"/>
        <w:numPr>
          <w:ilvl w:val="0"/>
          <w:numId w:val="11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72607" w:rsidRPr="00CB64F0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</w:rPr>
      </w:pPr>
      <w:r w:rsidRPr="00F47CF4">
        <w:rPr>
          <w:rFonts w:asciiTheme="minorHAnsi" w:hAnsiTheme="minorHAnsi" w:cstheme="minorHAnsi"/>
          <w:sz w:val="22"/>
          <w:szCs w:val="22"/>
        </w:rPr>
        <w:t xml:space="preserve">Guadalupe García Correa, </w:t>
      </w:r>
      <w:r w:rsidR="00CB64F0">
        <w:rPr>
          <w:rFonts w:asciiTheme="minorHAnsi" w:hAnsiTheme="minorHAnsi" w:cstheme="minorHAnsi"/>
          <w:sz w:val="22"/>
          <w:szCs w:val="22"/>
        </w:rPr>
        <w:t>"</w:t>
      </w:r>
      <w:r w:rsidRPr="00F47CF4">
        <w:rPr>
          <w:rFonts w:asciiTheme="minorHAnsi" w:hAnsiTheme="minorHAnsi" w:cstheme="minorHAnsi"/>
          <w:sz w:val="22"/>
          <w:szCs w:val="22"/>
        </w:rPr>
        <w:t xml:space="preserve">Security, Migration, and the Economy in the Texas-Tamaulipas Border Region: The </w:t>
      </w:r>
      <w:r w:rsidR="00317CC2" w:rsidRPr="00317CC2">
        <w:rPr>
          <w:rFonts w:asciiTheme="minorHAnsi" w:hAnsiTheme="minorHAnsi" w:cstheme="minorHAnsi"/>
          <w:sz w:val="22"/>
          <w:szCs w:val="22"/>
        </w:rPr>
        <w:t>'</w:t>
      </w:r>
      <w:r w:rsidRPr="00F47CF4">
        <w:rPr>
          <w:rFonts w:asciiTheme="minorHAnsi" w:hAnsiTheme="minorHAnsi" w:cstheme="minorHAnsi"/>
          <w:sz w:val="22"/>
          <w:szCs w:val="22"/>
        </w:rPr>
        <w:t>Real</w:t>
      </w:r>
      <w:r w:rsidR="00317CC2">
        <w:rPr>
          <w:rFonts w:asciiTheme="minorHAnsi" w:hAnsiTheme="minorHAnsi" w:cstheme="minorHAnsi"/>
          <w:sz w:val="22"/>
          <w:szCs w:val="22"/>
        </w:rPr>
        <w:t>'</w:t>
      </w:r>
      <w:r w:rsidRPr="00F47CF4">
        <w:rPr>
          <w:rFonts w:asciiTheme="minorHAnsi" w:hAnsiTheme="minorHAnsi" w:cstheme="minorHAnsi"/>
          <w:sz w:val="22"/>
          <w:szCs w:val="22"/>
        </w:rPr>
        <w:t xml:space="preserve"> Effects of Mexico</w:t>
      </w:r>
      <w:r w:rsidR="00317CC2" w:rsidRPr="00317CC2">
        <w:rPr>
          <w:rFonts w:asciiTheme="minorHAnsi" w:hAnsiTheme="minorHAnsi" w:cstheme="minorHAnsi"/>
          <w:sz w:val="22"/>
          <w:szCs w:val="22"/>
        </w:rPr>
        <w:t>’</w:t>
      </w:r>
      <w:r w:rsidRPr="00F47CF4">
        <w:rPr>
          <w:rFonts w:asciiTheme="minorHAnsi" w:hAnsiTheme="minorHAnsi" w:cstheme="minorHAnsi"/>
          <w:sz w:val="22"/>
          <w:szCs w:val="22"/>
        </w:rPr>
        <w:t>s Drug War</w:t>
      </w:r>
      <w:r w:rsidR="00CB64F0">
        <w:rPr>
          <w:rFonts w:asciiTheme="minorHAnsi" w:hAnsiTheme="minorHAnsi" w:cstheme="minorHAnsi"/>
          <w:sz w:val="22"/>
          <w:szCs w:val="22"/>
        </w:rPr>
        <w:t>"</w:t>
      </w:r>
      <w:r w:rsidRPr="00F47CF4">
        <w:rPr>
          <w:rFonts w:asciiTheme="minorHAnsi" w:hAnsiTheme="minorHAnsi" w:cstheme="minorHAnsi"/>
          <w:sz w:val="22"/>
          <w:szCs w:val="22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</w:rPr>
        <w:t xml:space="preserve">Politics &amp; Policy </w:t>
      </w:r>
      <w:r w:rsidRPr="00F47CF4">
        <w:rPr>
          <w:rFonts w:asciiTheme="minorHAnsi" w:hAnsiTheme="minorHAnsi" w:cstheme="minorHAnsi"/>
          <w:sz w:val="22"/>
          <w:szCs w:val="22"/>
        </w:rPr>
        <w:t>41, n.</w:t>
      </w:r>
      <w:r w:rsidR="00317CC2">
        <w:rPr>
          <w:rFonts w:asciiTheme="minorHAnsi" w:hAnsiTheme="minorHAnsi" w:cstheme="minorHAnsi"/>
          <w:sz w:val="22"/>
          <w:szCs w:val="22"/>
        </w:rPr>
        <w:t>º</w:t>
      </w:r>
      <w:r w:rsidRPr="00F47CF4">
        <w:rPr>
          <w:rFonts w:asciiTheme="minorHAnsi" w:hAnsiTheme="minorHAnsi" w:cstheme="minorHAnsi"/>
          <w:sz w:val="22"/>
          <w:szCs w:val="22"/>
        </w:rPr>
        <w:t xml:space="preserve"> 1 (</w:t>
      </w:r>
      <w:proofErr w:type="spellStart"/>
      <w:r w:rsidRPr="00F47CF4">
        <w:rPr>
          <w:rFonts w:asciiTheme="minorHAnsi" w:hAnsiTheme="minorHAnsi" w:cstheme="minorHAnsi"/>
          <w:sz w:val="22"/>
          <w:szCs w:val="22"/>
        </w:rPr>
        <w:t>febrero</w:t>
      </w:r>
      <w:proofErr w:type="spellEnd"/>
      <w:r w:rsidRPr="00F47CF4">
        <w:rPr>
          <w:rFonts w:asciiTheme="minorHAnsi" w:hAnsiTheme="minorHAnsi" w:cstheme="minorHAnsi"/>
          <w:sz w:val="22"/>
          <w:szCs w:val="22"/>
        </w:rPr>
        <w:t xml:space="preserve"> </w:t>
      </w:r>
      <w:r w:rsidRPr="00F47CF4">
        <w:rPr>
          <w:rFonts w:asciiTheme="minorHAnsi" w:hAnsiTheme="minorHAnsi" w:cstheme="minorHAnsi"/>
          <w:sz w:val="22"/>
          <w:szCs w:val="22"/>
        </w:rPr>
        <w:lastRenderedPageBreak/>
        <w:t xml:space="preserve">2013), </w:t>
      </w:r>
      <w:proofErr w:type="spellStart"/>
      <w:r w:rsidRPr="00F47CF4">
        <w:rPr>
          <w:rFonts w:asciiTheme="minorHAnsi" w:hAnsiTheme="minorHAnsi" w:cstheme="minorHAnsi"/>
          <w:sz w:val="22"/>
          <w:szCs w:val="22"/>
        </w:rPr>
        <w:t>consultado</w:t>
      </w:r>
      <w:proofErr w:type="spellEnd"/>
      <w:r w:rsidRPr="00F47CF4">
        <w:rPr>
          <w:rFonts w:asciiTheme="minorHAnsi" w:hAnsiTheme="minorHAnsi" w:cstheme="minorHAnsi"/>
          <w:sz w:val="22"/>
          <w:szCs w:val="22"/>
        </w:rPr>
        <w:t xml:space="preserve"> 15 de </w:t>
      </w:r>
      <w:proofErr w:type="spellStart"/>
      <w:r w:rsidRPr="00F47CF4">
        <w:rPr>
          <w:rFonts w:asciiTheme="minorHAnsi" w:hAnsiTheme="minorHAnsi" w:cstheme="minorHAnsi"/>
          <w:sz w:val="22"/>
          <w:szCs w:val="22"/>
        </w:rPr>
        <w:t>marzo</w:t>
      </w:r>
      <w:proofErr w:type="spellEnd"/>
      <w:r w:rsidRPr="00F47CF4">
        <w:rPr>
          <w:rFonts w:asciiTheme="minorHAnsi" w:hAnsiTheme="minorHAnsi" w:cstheme="minorHAnsi"/>
          <w:sz w:val="22"/>
          <w:szCs w:val="22"/>
        </w:rPr>
        <w:t xml:space="preserve"> de 2014: 78.</w:t>
      </w:r>
      <w:r w:rsidR="00CB64F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B64F0" w:rsidRPr="000D49A5">
          <w:rPr>
            <w:rStyle w:val="Hipervnculo"/>
            <w:rFonts w:asciiTheme="minorHAnsi" w:hAnsiTheme="minorHAnsi" w:cstheme="minorHAnsi"/>
            <w:sz w:val="22"/>
            <w:szCs w:val="22"/>
          </w:rPr>
          <w:t>http://onlinelibrary.wiley.com/doi/10.1111/polp.12005/pdf</w:t>
        </w:r>
      </w:hyperlink>
      <w:r w:rsidRPr="00CB64F0">
        <w:rPr>
          <w:rFonts w:asciiTheme="minorHAnsi" w:hAnsiTheme="minorHAnsi" w:cstheme="minorHAnsi"/>
          <w:sz w:val="22"/>
          <w:szCs w:val="22"/>
        </w:rPr>
        <w:t>.</w:t>
      </w:r>
    </w:p>
    <w:p w:rsidR="00832219" w:rsidRPr="00F47CF4" w:rsidRDefault="00832219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</w:rPr>
      </w:pPr>
    </w:p>
    <w:p w:rsidR="00272607" w:rsidRPr="00F47CF4" w:rsidRDefault="00272607" w:rsidP="00CB64F0">
      <w:pPr>
        <w:pStyle w:val="Prrafodelista"/>
        <w:numPr>
          <w:ilvl w:val="0"/>
          <w:numId w:val="11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García Correa,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Security,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Migration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>…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31.</w:t>
      </w: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Artículo de página web</w:t>
      </w:r>
    </w:p>
    <w:p w:rsidR="00272607" w:rsidRPr="00F47CF4" w:rsidRDefault="00272607" w:rsidP="00CB64F0">
      <w:pPr>
        <w:pStyle w:val="Prrafodelista"/>
        <w:numPr>
          <w:ilvl w:val="0"/>
          <w:numId w:val="12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</w:rPr>
      </w:pPr>
      <w:r w:rsidRPr="00F47CF4">
        <w:rPr>
          <w:rFonts w:asciiTheme="minorHAnsi" w:hAnsiTheme="minorHAnsi" w:cstheme="minorHAnsi"/>
          <w:sz w:val="22"/>
          <w:szCs w:val="22"/>
        </w:rPr>
        <w:t xml:space="preserve">Ron </w:t>
      </w:r>
      <w:proofErr w:type="spellStart"/>
      <w:r w:rsidRPr="00F47CF4">
        <w:rPr>
          <w:rFonts w:asciiTheme="minorHAnsi" w:hAnsiTheme="minorHAnsi" w:cstheme="minorHAnsi"/>
          <w:sz w:val="22"/>
          <w:szCs w:val="22"/>
        </w:rPr>
        <w:t>Gurantz</w:t>
      </w:r>
      <w:proofErr w:type="spellEnd"/>
      <w:r w:rsidRPr="00F47CF4">
        <w:rPr>
          <w:rFonts w:asciiTheme="minorHAnsi" w:hAnsiTheme="minorHAnsi" w:cstheme="minorHAnsi"/>
          <w:sz w:val="22"/>
          <w:szCs w:val="22"/>
        </w:rPr>
        <w:t xml:space="preserve">, </w:t>
      </w:r>
      <w:r w:rsidR="00317CC2">
        <w:rPr>
          <w:rFonts w:asciiTheme="minorHAnsi" w:hAnsiTheme="minorHAnsi" w:cstheme="minorHAnsi"/>
          <w:sz w:val="22"/>
          <w:szCs w:val="22"/>
        </w:rPr>
        <w:t>"</w:t>
      </w:r>
      <w:r w:rsidRPr="00F47CF4">
        <w:rPr>
          <w:rFonts w:asciiTheme="minorHAnsi" w:hAnsiTheme="minorHAnsi" w:cstheme="minorHAnsi"/>
          <w:sz w:val="22"/>
          <w:szCs w:val="22"/>
        </w:rPr>
        <w:t>Look Who’s Looking</w:t>
      </w:r>
      <w:r w:rsidR="00317CC2">
        <w:rPr>
          <w:rFonts w:asciiTheme="minorHAnsi" w:hAnsiTheme="minorHAnsi" w:cstheme="minorHAnsi"/>
          <w:sz w:val="22"/>
          <w:szCs w:val="22"/>
        </w:rPr>
        <w:t>"</w:t>
      </w:r>
      <w:r w:rsidRPr="00F47C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47CF4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F47CF4">
        <w:rPr>
          <w:rFonts w:asciiTheme="minorHAnsi" w:hAnsiTheme="minorHAnsi" w:cstheme="minorHAnsi"/>
          <w:sz w:val="22"/>
          <w:szCs w:val="22"/>
        </w:rPr>
        <w:t xml:space="preserve"> </w:t>
      </w:r>
      <w:r w:rsidRPr="00F47CF4">
        <w:rPr>
          <w:rFonts w:asciiTheme="minorHAnsi" w:hAnsiTheme="minorHAnsi" w:cstheme="minorHAnsi"/>
          <w:i/>
          <w:sz w:val="22"/>
          <w:szCs w:val="22"/>
        </w:rPr>
        <w:t>The Independent Institute</w:t>
      </w:r>
      <w:r w:rsidRPr="00F47CF4">
        <w:rPr>
          <w:rFonts w:asciiTheme="minorHAnsi" w:hAnsiTheme="minorHAnsi" w:cstheme="minorHAnsi"/>
          <w:sz w:val="22"/>
          <w:szCs w:val="22"/>
        </w:rPr>
        <w:t xml:space="preserve"> </w:t>
      </w:r>
      <w:r w:rsidRPr="00F47CF4">
        <w:rPr>
          <w:rFonts w:asciiTheme="minorHAnsi" w:hAnsiTheme="minorHAnsi" w:cstheme="minorHAnsi"/>
          <w:i/>
          <w:sz w:val="22"/>
          <w:szCs w:val="22"/>
        </w:rPr>
        <w:t>(sitio web)</w:t>
      </w:r>
      <w:r w:rsidRPr="00F47CF4">
        <w:rPr>
          <w:rFonts w:asciiTheme="minorHAnsi" w:hAnsiTheme="minorHAnsi" w:cstheme="minorHAnsi"/>
          <w:sz w:val="22"/>
          <w:szCs w:val="22"/>
        </w:rPr>
        <w:t>, 22 de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octubre 2001, consultado 2 de septiembre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2003,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>http://www.independent.org/tii/news/011022Guarantz.html.</w:t>
      </w:r>
    </w:p>
    <w:p w:rsidR="00272607" w:rsidRPr="00F47CF4" w:rsidRDefault="00272607" w:rsidP="00CB64F0">
      <w:pPr>
        <w:pStyle w:val="Prrafodelista"/>
        <w:numPr>
          <w:ilvl w:val="0"/>
          <w:numId w:val="12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Gurantz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Look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Who’s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Looking</w:t>
      </w:r>
      <w:proofErr w:type="spellEnd"/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Tesis o tesina</w:t>
      </w:r>
    </w:p>
    <w:p w:rsidR="00272607" w:rsidRPr="00F47CF4" w:rsidRDefault="00272607" w:rsidP="00CB64F0">
      <w:pPr>
        <w:pStyle w:val="Prrafodelista"/>
        <w:numPr>
          <w:ilvl w:val="0"/>
          <w:numId w:val="13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Francisco José Hernández Rubio,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Los límites del </w:t>
      </w:r>
      <w:proofErr w:type="spellStart"/>
      <w:r w:rsidRPr="00F47CF4">
        <w:rPr>
          <w:rFonts w:asciiTheme="minorHAnsi" w:hAnsiTheme="minorHAnsi" w:cstheme="minorHAnsi"/>
          <w:sz w:val="22"/>
          <w:szCs w:val="22"/>
          <w:lang w:val="es-ES"/>
        </w:rPr>
        <w:t>eliminacionismo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>: una solución epigenética al problema mente-cerebro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(tesis doctoral, Universidad de Murcia, 2010), 145, http://hdl.handle.net/10201/17600.</w:t>
      </w:r>
    </w:p>
    <w:p w:rsidR="00272607" w:rsidRPr="00F47CF4" w:rsidRDefault="00272607" w:rsidP="00CB64F0">
      <w:pPr>
        <w:pStyle w:val="Prrafodelista"/>
        <w:numPr>
          <w:ilvl w:val="0"/>
          <w:numId w:val="13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272607" w:rsidRPr="00F47CF4" w:rsidRDefault="00272607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Hernández Rubio,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Los límites…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130-132.</w:t>
      </w:r>
    </w:p>
    <w:p w:rsidR="00272607" w:rsidRPr="00F47CF4" w:rsidRDefault="00272607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72607" w:rsidRPr="00F47CF4" w:rsidRDefault="00904B7F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Documento presentado en conferencia, ponencia, congreso o similar</w:t>
      </w:r>
    </w:p>
    <w:p w:rsidR="00904B7F" w:rsidRPr="00F47CF4" w:rsidRDefault="00904B7F" w:rsidP="00CB64F0">
      <w:pPr>
        <w:pStyle w:val="Prrafodelista"/>
        <w:numPr>
          <w:ilvl w:val="0"/>
          <w:numId w:val="14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Silvia Rodríguez Vázquez,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Flujos de traducción: herramientas de ayuda a la gestión de proyectos en función de la situación de trabajo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(conferencia, Universidad de Salamanca, 8 de noviembre de 2012).</w:t>
      </w:r>
    </w:p>
    <w:p w:rsidR="00904B7F" w:rsidRPr="00F47CF4" w:rsidRDefault="00904B7F" w:rsidP="00CB64F0">
      <w:pPr>
        <w:pStyle w:val="Prrafodelista"/>
        <w:numPr>
          <w:ilvl w:val="0"/>
          <w:numId w:val="14"/>
        </w:numPr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Rodríguez Vázquez,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Flujos de traducción…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904B7F" w:rsidRPr="00F47CF4" w:rsidRDefault="00904B7F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272607" w:rsidRPr="00F47CF4" w:rsidRDefault="00904B7F" w:rsidP="00CB64F0">
      <w:pPr>
        <w:pStyle w:val="Prrafodelista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Grabacion sonora</w:t>
      </w:r>
    </w:p>
    <w:p w:rsidR="00904B7F" w:rsidRPr="00F47CF4" w:rsidRDefault="00904B7F" w:rsidP="00CB64F0">
      <w:pPr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Una cita referida a una grabación (de cualquier tipo) incluye, normalmente, los siguientes elementos o, al menos, el mayor número posible de ellos: el nombre del compositor, escritor, intérprete u otro responsable primario del contenido; el título, en cursiva o entre comillas, según corresponda; el nombre de la compañía discográfica o editorial; un número de identificación de la grabación; indicación del soporte (disco compacto, casete, archivo audiovisual, etc.), y la fecha del copyright o de la producción o interpretación. Para las grabaciones consultadas en línea se debe facilitar, además, un URL o DOI.</w:t>
      </w:r>
    </w:p>
    <w:p w:rsidR="00904B7F" w:rsidRPr="00F47CF4" w:rsidRDefault="00904B7F" w:rsidP="00CB64F0">
      <w:pPr>
        <w:pStyle w:val="Prrafodelista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4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Pablo Luna, </w:t>
      </w:r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 xml:space="preserve">Los cadetes de la reina,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José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Olaría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y María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Puchol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dirección de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Foglietti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(Berlín: International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Talking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Machine, 1922), 78½ rpm.</w:t>
      </w:r>
    </w:p>
    <w:p w:rsidR="00904B7F" w:rsidRPr="00F47CF4" w:rsidRDefault="00904B7F" w:rsidP="00CB64F0">
      <w:pPr>
        <w:pStyle w:val="Prrafodelista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Luna, </w:t>
      </w:r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>Los cadetes de la reina</w:t>
      </w:r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.</w:t>
      </w:r>
    </w:p>
    <w:p w:rsidR="00904B7F" w:rsidRPr="00F47CF4" w:rsidRDefault="00904B7F" w:rsidP="00CB64F0">
      <w:pPr>
        <w:pStyle w:val="Prrafodelista"/>
        <w:spacing w:after="0" w:line="240" w:lineRule="auto"/>
        <w:ind w:left="0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216088" w:rsidRPr="00F47CF4" w:rsidRDefault="00904B7F" w:rsidP="00CB64F0">
      <w:pPr>
        <w:pStyle w:val="Didefault"/>
        <w:rPr>
          <w:rFonts w:asciiTheme="minorHAnsi" w:hAnsiTheme="minorHAnsi" w:cstheme="minorHAnsi"/>
          <w:b/>
          <w:iCs/>
          <w:color w:val="auto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Grabacion de imagen</w:t>
      </w:r>
    </w:p>
    <w:p w:rsidR="00904B7F" w:rsidRPr="00F47CF4" w:rsidRDefault="00904B7F" w:rsidP="00CB64F0">
      <w:pPr>
        <w:pStyle w:val="Prrafodelista"/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924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Pilar Miró, </w:t>
      </w:r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 xml:space="preserve">El pájaro de la felicidad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(Madrid: Divisa Home Video, 1993), videocasete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(VHS), 122 min.</w:t>
      </w:r>
    </w:p>
    <w:p w:rsidR="00904B7F" w:rsidRPr="00F47CF4" w:rsidRDefault="00904B7F" w:rsidP="00CB64F0">
      <w:pPr>
        <w:pStyle w:val="Prrafodelista"/>
        <w:numPr>
          <w:ilvl w:val="0"/>
          <w:numId w:val="16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Miró, </w:t>
      </w:r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>El pájaro de la felicidad.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317CC2" w:rsidRDefault="00317CC2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lastRenderedPageBreak/>
        <w:t>Multimedia en línea</w:t>
      </w:r>
    </w:p>
    <w:p w:rsidR="00904B7F" w:rsidRPr="00F47CF4" w:rsidRDefault="00904B7F" w:rsidP="00CB64F0">
      <w:pPr>
        <w:pStyle w:val="Prrafodelista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924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Fernando López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Heptener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Por tierras de Zamora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, documental rodado en 1933, video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en YouTube, 10:36,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>consultado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13 de septiembre de 2011,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924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http://www.youtube.com/watch?v=PRCjvDgyrBQ.</w:t>
      </w:r>
    </w:p>
    <w:p w:rsidR="00904B7F" w:rsidRPr="00F47CF4" w:rsidRDefault="00904B7F" w:rsidP="00CB64F0">
      <w:pPr>
        <w:pStyle w:val="Prrafodelista"/>
        <w:numPr>
          <w:ilvl w:val="0"/>
          <w:numId w:val="17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López </w:t>
      </w:r>
      <w:proofErr w:type="spellStart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Heptener</w:t>
      </w:r>
      <w:proofErr w:type="spellEnd"/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Por tierras de Zamora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</w:pPr>
      <w:r w:rsidRPr="00F47CF4">
        <w:rPr>
          <w:rFonts w:asciiTheme="minorHAnsi" w:eastAsia="Arial Unicode MS" w:hAnsiTheme="minorHAnsi" w:cstheme="minorHAnsi"/>
          <w:b/>
          <w:iCs/>
          <w:kern w:val="2"/>
          <w:sz w:val="22"/>
          <w:szCs w:val="22"/>
          <w:u w:color="000000"/>
          <w:lang w:val="it-IT" w:eastAsia="zh-CN" w:bidi="hi-IN"/>
        </w:rPr>
        <w:t>Entrada de diccionario/enciclopedia electrónico</w:t>
      </w:r>
    </w:p>
    <w:p w:rsidR="00904B7F" w:rsidRPr="00F47CF4" w:rsidRDefault="00904B7F" w:rsidP="00CB64F0">
      <w:pPr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Se emplea la fórmula s.v. (sub verbo) antes de indicar la </w:t>
      </w:r>
      <w:r w:rsidR="00832219"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palabra buscada. E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>sta se escribe entre comillas.</w:t>
      </w:r>
    </w:p>
    <w:p w:rsidR="00904B7F" w:rsidRPr="00F47CF4" w:rsidRDefault="00904B7F" w:rsidP="00CB64F0">
      <w:pPr>
        <w:pStyle w:val="Prrafodelista"/>
        <w:numPr>
          <w:ilvl w:val="0"/>
          <w:numId w:val="18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924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proofErr w:type="spellStart"/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>Encyclopaedia</w:t>
      </w:r>
      <w:proofErr w:type="spellEnd"/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 xml:space="preserve"> </w:t>
      </w:r>
      <w:proofErr w:type="spellStart"/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>Britannica</w:t>
      </w:r>
      <w:proofErr w:type="spellEnd"/>
      <w:r w:rsidRPr="00F47CF4">
        <w:rPr>
          <w:rFonts w:asciiTheme="minorHAnsi" w:hAnsiTheme="minorHAnsi" w:cstheme="minorHAnsi"/>
          <w:i/>
          <w:color w:val="000000"/>
          <w:sz w:val="22"/>
          <w:szCs w:val="22"/>
          <w:lang w:val="x-none"/>
        </w:rPr>
        <w:t xml:space="preserve"> Online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s.v. 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Suez Crisis</w:t>
      </w:r>
      <w:r w:rsidR="00317CC2">
        <w:rPr>
          <w:rFonts w:asciiTheme="minorHAnsi" w:hAnsiTheme="minorHAnsi" w:cstheme="minorHAnsi"/>
          <w:color w:val="000000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consultado 18 de julio de 2014,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color w:val="000000"/>
          <w:sz w:val="22"/>
          <w:szCs w:val="22"/>
          <w:lang w:val="x-none"/>
        </w:rPr>
        <w:t>http:// http://www.britannica.com/EBchecked/topic/571713/Suez-Crisis.</w:t>
      </w:r>
    </w:p>
    <w:p w:rsidR="00904B7F" w:rsidRPr="00F47CF4" w:rsidRDefault="00904B7F" w:rsidP="00CB64F0">
      <w:pPr>
        <w:pStyle w:val="Prrafodelista"/>
        <w:numPr>
          <w:ilvl w:val="0"/>
          <w:numId w:val="18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Encyclopaedia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Britannica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Online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s.v.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Suez Crisis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904B7F" w:rsidRPr="00F47CF4" w:rsidRDefault="00904B7F" w:rsidP="00CB64F0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:rsidR="00904B7F" w:rsidRPr="00F47CF4" w:rsidRDefault="00904B7F" w:rsidP="00CB64F0">
      <w:pPr>
        <w:pStyle w:val="Didefault"/>
        <w:rPr>
          <w:rFonts w:asciiTheme="minorHAnsi" w:hAnsiTheme="minorHAnsi" w:cstheme="minorHAnsi"/>
          <w:b/>
          <w:iCs/>
          <w:color w:val="auto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Entrada de blog, tweet o facebook</w:t>
      </w:r>
    </w:p>
    <w:p w:rsidR="00904B7F" w:rsidRPr="00F47CF4" w:rsidRDefault="00904B7F" w:rsidP="00CB64F0">
      <w:pPr>
        <w:rPr>
          <w:rFonts w:asciiTheme="minorHAnsi" w:hAnsiTheme="minorHAnsi" w:cstheme="minorHAnsi"/>
          <w:color w:val="7F7F7F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Se debe indicar el nombre o seudónimo del autor/a, la fecha y hora de consulta, el título o contenido (si es largo, </w:t>
      </w:r>
      <w:r w:rsidR="003003D5">
        <w:rPr>
          <w:rFonts w:asciiTheme="minorHAnsi" w:hAnsiTheme="minorHAnsi" w:cstheme="minorHAnsi"/>
          <w:color w:val="7F7F7F"/>
          <w:sz w:val="22"/>
          <w:szCs w:val="22"/>
          <w:lang w:val="es-ES"/>
        </w:rPr>
        <w:t>solo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 las primeras palabra</w:t>
      </w:r>
      <w:r w:rsidR="003003D5">
        <w:rPr>
          <w:rFonts w:asciiTheme="minorHAnsi" w:hAnsiTheme="minorHAnsi" w:cstheme="minorHAnsi"/>
          <w:color w:val="7F7F7F"/>
          <w:sz w:val="22"/>
          <w:szCs w:val="22"/>
          <w:lang w:val="es-ES"/>
        </w:rPr>
        <w:t>s</w:t>
      </w:r>
      <w:r w:rsidRPr="00F47CF4">
        <w:rPr>
          <w:rFonts w:asciiTheme="minorHAnsi" w:hAnsiTheme="minorHAnsi" w:cstheme="minorHAnsi"/>
          <w:color w:val="7F7F7F"/>
          <w:sz w:val="22"/>
          <w:szCs w:val="22"/>
          <w:lang w:val="es-ES"/>
        </w:rPr>
        <w:t xml:space="preserve"> seguidas de puntos suspensivos) del artículo/comentario, el nombre del blog, la fecha de posteo y el vínculo.</w:t>
      </w:r>
    </w:p>
    <w:p w:rsidR="00904B7F" w:rsidRPr="00F47CF4" w:rsidRDefault="00904B7F" w:rsidP="00CB64F0">
      <w:pPr>
        <w:pStyle w:val="Prrafodelista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completa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José Luis Ramírez, 17 de marzo de 2012 (21:28), comentario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Hacer los deberes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Blog de Lengua española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, 13 de marzo de 2012, http://blog.lengua-e.com/2012/hacerlos-deberes/#comments.</w:t>
      </w:r>
    </w:p>
    <w:p w:rsidR="00904B7F" w:rsidRPr="00F47CF4" w:rsidRDefault="00904B7F" w:rsidP="00CB64F0">
      <w:pPr>
        <w:pStyle w:val="Prrafodelista"/>
        <w:numPr>
          <w:ilvl w:val="0"/>
          <w:numId w:val="19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u w:val="single"/>
          <w:lang w:val="es-ES"/>
        </w:rPr>
        <w:t>referencia abreviada en nota a pie de página:</w:t>
      </w:r>
    </w:p>
    <w:p w:rsidR="00904B7F" w:rsidRPr="00F47CF4" w:rsidRDefault="00904B7F" w:rsidP="00CB64F0">
      <w:pPr>
        <w:pStyle w:val="Prrafodelista"/>
        <w:spacing w:after="0" w:line="240" w:lineRule="auto"/>
        <w:ind w:left="927"/>
        <w:jc w:val="left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Ramírez,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Hacer los deberes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CE0E23" w:rsidRDefault="00CE0E23" w:rsidP="00CB64F0">
      <w:pPr>
        <w:pStyle w:val="Didefault"/>
        <w:rPr>
          <w:rFonts w:asciiTheme="minorHAnsi" w:hAnsiTheme="minorHAnsi" w:cstheme="minorHAnsi"/>
          <w:b/>
          <w:iCs/>
          <w:color w:val="C5A95B"/>
        </w:rPr>
      </w:pPr>
    </w:p>
    <w:p w:rsidR="003003D5" w:rsidRDefault="003003D5" w:rsidP="00CB64F0">
      <w:pPr>
        <w:pStyle w:val="Didefault"/>
        <w:rPr>
          <w:rFonts w:asciiTheme="minorHAnsi" w:hAnsiTheme="minorHAnsi" w:cstheme="minorHAnsi"/>
          <w:b/>
          <w:iCs/>
          <w:color w:val="C5A95B"/>
        </w:rPr>
      </w:pPr>
    </w:p>
    <w:p w:rsidR="003003D5" w:rsidRDefault="003003D5" w:rsidP="00CB64F0">
      <w:pPr>
        <w:pStyle w:val="Didefault"/>
        <w:rPr>
          <w:rFonts w:asciiTheme="minorHAnsi" w:hAnsiTheme="minorHAnsi" w:cstheme="minorHAnsi"/>
          <w:b/>
          <w:iCs/>
          <w:color w:val="C5A95B"/>
        </w:rPr>
      </w:pPr>
    </w:p>
    <w:p w:rsidR="009031D4" w:rsidRPr="00F47CF4" w:rsidRDefault="009031D4" w:rsidP="00CB64F0">
      <w:pPr>
        <w:pStyle w:val="Didefault"/>
        <w:rPr>
          <w:rFonts w:asciiTheme="minorHAnsi" w:hAnsiTheme="minorHAnsi" w:cstheme="minorHAnsi"/>
          <w:b/>
          <w:iCs/>
          <w:color w:val="auto"/>
        </w:rPr>
      </w:pPr>
      <w:r w:rsidRPr="00F47CF4">
        <w:rPr>
          <w:rFonts w:asciiTheme="minorHAnsi" w:hAnsiTheme="minorHAnsi" w:cstheme="minorHAnsi"/>
          <w:b/>
          <w:iCs/>
          <w:color w:val="auto"/>
        </w:rPr>
        <w:t>Notas adicionales</w:t>
      </w:r>
    </w:p>
    <w:p w:rsidR="00E47742" w:rsidRPr="00F47CF4" w:rsidRDefault="00E47742" w:rsidP="00CB64F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>Normalmente, los nombres de los autores se deben incluir como aparecen en la obra consultada. Algunas obras no especifican los nombres de pila de los autores y solo presentan iniciales, por lo que no es necesario investigar el nombre completo.</w:t>
      </w:r>
    </w:p>
    <w:p w:rsidR="003E3A83" w:rsidRPr="00F47CF4" w:rsidRDefault="003E3A83" w:rsidP="00CB64F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Los títulos y subtítulos en español </w:t>
      </w:r>
      <w:r w:rsidR="003003D5">
        <w:rPr>
          <w:rFonts w:asciiTheme="minorHAnsi" w:hAnsiTheme="minorHAnsi" w:cstheme="minorHAnsi"/>
          <w:sz w:val="22"/>
          <w:szCs w:val="22"/>
          <w:lang w:val="es-ES"/>
        </w:rPr>
        <w:t>solo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llevan inicial mayúscula en la primera palabra y en los nombres propios. Los títulos y subtítulos en inglés llevan inicial mayúscula en todas la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palabras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exceptuando las preposiciones (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in,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on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by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, at,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etc.), artículos (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a,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an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the</w:t>
      </w:r>
      <w:proofErr w:type="spellEnd"/>
      <w:r w:rsidRPr="00F47CF4">
        <w:rPr>
          <w:rFonts w:asciiTheme="minorHAnsi" w:hAnsiTheme="minorHAnsi" w:cstheme="minorHAnsi"/>
          <w:sz w:val="22"/>
          <w:szCs w:val="22"/>
          <w:lang w:val="es-ES"/>
        </w:rPr>
        <w:t>) y las conjunciones coordinadas (</w:t>
      </w:r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and,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but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or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nor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for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, as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). La información de las publicaciones en inglés (lugar de publicación, mes o estación del año) se debe escribir en español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 xml:space="preserve"> si el </w:t>
      </w:r>
      <w:proofErr w:type="spellStart"/>
      <w:r w:rsidR="00317CC2">
        <w:rPr>
          <w:rFonts w:asciiTheme="minorHAnsi" w:hAnsiTheme="minorHAnsi" w:cstheme="minorHAnsi"/>
          <w:sz w:val="22"/>
          <w:szCs w:val="22"/>
          <w:lang w:val="es-ES"/>
        </w:rPr>
        <w:t>paper</w:t>
      </w:r>
      <w:proofErr w:type="spellEnd"/>
      <w:r w:rsidR="00317CC2">
        <w:rPr>
          <w:rFonts w:asciiTheme="minorHAnsi" w:hAnsiTheme="minorHAnsi" w:cstheme="minorHAnsi"/>
          <w:sz w:val="22"/>
          <w:szCs w:val="22"/>
          <w:lang w:val="es-ES"/>
        </w:rPr>
        <w:t xml:space="preserve"> está escrito en español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. En el caso de ciudades cuyo nombre no tiene traducción, se escribirá el nombre en el idioma original. Para referenciar publicaciones en idiomas distintos al español e inglés, se atenderá a lo recogido en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The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Chicago Manual </w:t>
      </w:r>
      <w:proofErr w:type="spellStart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>of</w:t>
      </w:r>
      <w:proofErr w:type="spellEnd"/>
      <w:r w:rsidRPr="00F47CF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Style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(17ª edición).</w:t>
      </w:r>
    </w:p>
    <w:p w:rsidR="003E3A83" w:rsidRPr="00F47CF4" w:rsidRDefault="003E3A83" w:rsidP="00CB64F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Los títulos principales (por ejemplo, libros y revistas) se escriben siempre en cursiva; los títulos secundarios (por ejemplo, capítulos y artículos) o de trabajos inéditos se presentan siempre en redonda y entre comillas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altas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>"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 xml:space="preserve">). </w:t>
      </w:r>
    </w:p>
    <w:p w:rsidR="003E3A83" w:rsidRPr="00F47CF4" w:rsidRDefault="003E3A83" w:rsidP="00CB64F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>Si se desconoce el lugar de la publicación, se empleará la abreviatura s.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l.</w:t>
      </w:r>
    </w:p>
    <w:p w:rsidR="003E3A83" w:rsidRPr="00F47CF4" w:rsidRDefault="003E3A83" w:rsidP="00CB64F0">
      <w:pPr>
        <w:ind w:firstLine="720"/>
        <w:rPr>
          <w:rFonts w:asciiTheme="minorHAnsi" w:hAnsiTheme="minorHAnsi" w:cstheme="minorHAnsi"/>
          <w:sz w:val="22"/>
          <w:szCs w:val="22"/>
          <w:lang w:val="es-ES"/>
        </w:rPr>
      </w:pPr>
      <w:r w:rsidRPr="00F47CF4">
        <w:rPr>
          <w:rFonts w:asciiTheme="minorHAnsi" w:hAnsiTheme="minorHAnsi" w:cstheme="minorHAnsi"/>
          <w:sz w:val="22"/>
          <w:szCs w:val="22"/>
          <w:lang w:val="es-ES"/>
        </w:rPr>
        <w:t>Si se desconoce la fecha de publicación, se empleará la abreviatura s.</w:t>
      </w:r>
      <w:r w:rsidR="00317CC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47CF4">
        <w:rPr>
          <w:rFonts w:asciiTheme="minorHAnsi" w:hAnsiTheme="minorHAnsi" w:cstheme="minorHAnsi"/>
          <w:sz w:val="22"/>
          <w:szCs w:val="22"/>
          <w:lang w:val="es-ES"/>
        </w:rPr>
        <w:t>f.</w:t>
      </w:r>
    </w:p>
    <w:p w:rsidR="009031D4" w:rsidRPr="00F47CF4" w:rsidRDefault="003E3A83" w:rsidP="00CB64F0">
      <w:pPr>
        <w:pStyle w:val="Didefault"/>
        <w:ind w:firstLine="720"/>
        <w:rPr>
          <w:rFonts w:asciiTheme="minorHAnsi" w:hAnsiTheme="minorHAnsi" w:cstheme="minorHAnsi"/>
          <w:color w:val="auto"/>
          <w:lang w:val="es-ES"/>
        </w:rPr>
      </w:pPr>
      <w:r w:rsidRPr="00F47CF4">
        <w:rPr>
          <w:rFonts w:asciiTheme="minorHAnsi" w:hAnsiTheme="minorHAnsi" w:cstheme="minorHAnsi"/>
          <w:color w:val="auto"/>
          <w:lang w:val="es-ES"/>
        </w:rPr>
        <w:t>Si se desconoce el editor, se registrarán únicamente el lugar y la fecha.</w:t>
      </w:r>
    </w:p>
    <w:sectPr w:rsidR="009031D4" w:rsidRPr="00F47CF4" w:rsidSect="00A63D43">
      <w:headerReference w:type="even" r:id="rId8"/>
      <w:headerReference w:type="default" r:id="rId9"/>
      <w:headerReference w:type="first" r:id="rId10"/>
      <w:pgSz w:w="11907" w:h="16840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ADE" w:rsidRDefault="00842ADE">
      <w:r>
        <w:separator/>
      </w:r>
    </w:p>
  </w:endnote>
  <w:endnote w:type="continuationSeparator" w:id="0">
    <w:p w:rsidR="00842ADE" w:rsidRDefault="008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ADE" w:rsidRDefault="00842ADE">
      <w:r>
        <w:separator/>
      </w:r>
    </w:p>
  </w:footnote>
  <w:footnote w:type="continuationSeparator" w:id="0">
    <w:p w:rsidR="00842ADE" w:rsidRDefault="008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45" w:rsidRPr="00123A06" w:rsidRDefault="00123A06" w:rsidP="00123A06">
    <w:pPr>
      <w:pStyle w:val="Encabezado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  <w:color w:val="E6A21A"/>
        <w:sz w:val="18"/>
        <w:szCs w:val="18"/>
        <w:lang w:val="es-ES_tradnl"/>
      </w:rPr>
      <w:t xml:space="preserve">Manual estilo </w:t>
    </w:r>
    <w:proofErr w:type="spellStart"/>
    <w:r>
      <w:rPr>
        <w:rFonts w:asciiTheme="minorHAnsi" w:hAnsiTheme="minorHAnsi" w:cstheme="minorHAnsi"/>
        <w:iCs/>
        <w:color w:val="E6A21A"/>
        <w:sz w:val="18"/>
        <w:szCs w:val="18"/>
        <w:lang w:val="es-ES_tradnl"/>
      </w:rPr>
      <w:t>Chicago_ejemplos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45" w:rsidRPr="00123A06" w:rsidRDefault="00B621A8" w:rsidP="0058703D">
    <w:pPr>
      <w:pStyle w:val="Didefault"/>
      <w:jc w:val="right"/>
      <w:rPr>
        <w:rFonts w:asciiTheme="minorHAnsi" w:hAnsiTheme="minorHAnsi" w:cstheme="minorHAnsi"/>
        <w:iCs/>
        <w:color w:val="EDB413"/>
        <w:sz w:val="18"/>
        <w:szCs w:val="18"/>
        <w:lang w:val="es-ES_tradnl"/>
      </w:rPr>
    </w:pPr>
    <w:r w:rsidRPr="00123A06">
      <w:rPr>
        <w:rFonts w:asciiTheme="minorHAnsi" w:hAnsiTheme="minorHAnsi" w:cstheme="minorHAnsi"/>
        <w:iCs/>
        <w:color w:val="EDB413"/>
        <w:sz w:val="18"/>
        <w:szCs w:val="18"/>
        <w:lang w:val="es-ES_tradnl"/>
      </w:rPr>
      <w:t>I</w:t>
    </w:r>
    <w:r w:rsidR="00123A06">
      <w:rPr>
        <w:rFonts w:asciiTheme="minorHAnsi" w:hAnsiTheme="minorHAnsi" w:cstheme="minorHAnsi"/>
        <w:iCs/>
        <w:color w:val="EDB413"/>
        <w:sz w:val="18"/>
        <w:szCs w:val="18"/>
        <w:lang w:val="es-ES_tradnl"/>
      </w:rPr>
      <w:t>V</w:t>
    </w:r>
    <w:r w:rsidRPr="00123A06">
      <w:rPr>
        <w:rFonts w:asciiTheme="minorHAnsi" w:hAnsiTheme="minorHAnsi" w:cstheme="minorHAnsi"/>
        <w:iCs/>
        <w:color w:val="EDB413"/>
        <w:sz w:val="18"/>
        <w:szCs w:val="18"/>
        <w:lang w:val="es-ES_tradnl"/>
      </w:rPr>
      <w:t xml:space="preserve"> Congreso Internacional Cultura y </w:t>
    </w:r>
    <w:r w:rsidR="00020E45" w:rsidRPr="00123A06">
      <w:rPr>
        <w:rFonts w:asciiTheme="minorHAnsi" w:hAnsiTheme="minorHAnsi" w:cstheme="minorHAnsi"/>
        <w:iCs/>
        <w:color w:val="EDB413"/>
        <w:sz w:val="18"/>
        <w:szCs w:val="18"/>
        <w:lang w:val="es-ES_tradnl"/>
      </w:rPr>
      <w:t xml:space="preserve">Ciudad </w:t>
    </w:r>
  </w:p>
  <w:p w:rsidR="00123A06" w:rsidRPr="00123A06" w:rsidRDefault="00123A06" w:rsidP="00123A06">
    <w:pPr>
      <w:pStyle w:val="Didefault"/>
      <w:jc w:val="right"/>
      <w:rPr>
        <w:rFonts w:asciiTheme="minorHAnsi" w:hAnsiTheme="minorHAnsi" w:cstheme="minorHAnsi"/>
        <w:b/>
        <w:iCs/>
        <w:color w:val="E6A21A"/>
        <w:sz w:val="18"/>
        <w:szCs w:val="18"/>
        <w:lang w:val="es-ES_tradnl"/>
      </w:rPr>
    </w:pPr>
    <w:r w:rsidRPr="00123A06">
      <w:rPr>
        <w:rFonts w:asciiTheme="minorHAnsi" w:hAnsiTheme="minorHAnsi" w:cstheme="minorHAnsi"/>
        <w:b/>
        <w:iCs/>
        <w:color w:val="E6A21A"/>
        <w:sz w:val="18"/>
        <w:szCs w:val="18"/>
        <w:lang w:val="es-ES_tradnl"/>
      </w:rPr>
      <w:t>Comunicar la arquitectura: del origen de la modernidad a la era digital</w:t>
    </w:r>
  </w:p>
  <w:p w:rsidR="00770B74" w:rsidRPr="00123A06" w:rsidRDefault="00770B74" w:rsidP="00123A06">
    <w:pPr>
      <w:pStyle w:val="Didefault"/>
      <w:jc w:val="right"/>
      <w:rPr>
        <w:rFonts w:asciiTheme="minorHAnsi" w:hAnsiTheme="minorHAnsi" w:cstheme="minorHAnsi"/>
        <w:iCs/>
        <w:color w:val="EDB413"/>
        <w:sz w:val="18"/>
        <w:szCs w:val="1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CF4" w:rsidRPr="00123A06" w:rsidRDefault="00F47CF4" w:rsidP="00F47CF4">
    <w:pPr>
      <w:pStyle w:val="Didefault"/>
      <w:jc w:val="right"/>
      <w:rPr>
        <w:rFonts w:asciiTheme="minorHAnsi" w:hAnsiTheme="minorHAnsi" w:cstheme="minorHAnsi"/>
        <w:iCs/>
        <w:color w:val="E6A21A"/>
        <w:sz w:val="18"/>
        <w:szCs w:val="18"/>
        <w:lang w:val="es-ES_tradnl"/>
      </w:rPr>
    </w:pPr>
    <w:r w:rsidRPr="00123A06">
      <w:rPr>
        <w:rFonts w:asciiTheme="minorHAnsi" w:hAnsiTheme="minorHAnsi" w:cstheme="minorHAnsi"/>
        <w:iCs/>
        <w:noProof/>
        <w:color w:val="E6A21A"/>
        <w:sz w:val="18"/>
        <w:szCs w:val="18"/>
        <w:lang w:val="es-ES_tradnl"/>
      </w:rPr>
      <w:drawing>
        <wp:anchor distT="0" distB="0" distL="114300" distR="114300" simplePos="0" relativeHeight="251659264" behindDoc="1" locked="0" layoutInCell="1" allowOverlap="1" wp14:anchorId="65953ECA" wp14:editId="2996C4B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162800" cy="399600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A06">
      <w:rPr>
        <w:rFonts w:asciiTheme="minorHAnsi" w:hAnsiTheme="minorHAnsi" w:cstheme="minorHAnsi"/>
        <w:iCs/>
        <w:color w:val="E6A21A"/>
        <w:sz w:val="18"/>
        <w:szCs w:val="18"/>
        <w:lang w:val="es-ES_tradnl"/>
      </w:rPr>
      <w:t xml:space="preserve"> IV Congreso Internacional Cultura y Ciudad </w:t>
    </w:r>
  </w:p>
  <w:p w:rsidR="00F47CF4" w:rsidRPr="00123A06" w:rsidRDefault="00F47CF4" w:rsidP="00F47CF4">
    <w:pPr>
      <w:pStyle w:val="Didefault"/>
      <w:jc w:val="right"/>
      <w:rPr>
        <w:rFonts w:asciiTheme="minorHAnsi" w:hAnsiTheme="minorHAnsi" w:cstheme="minorHAnsi"/>
        <w:b/>
        <w:iCs/>
        <w:color w:val="E6A21A"/>
        <w:sz w:val="18"/>
        <w:szCs w:val="18"/>
        <w:lang w:val="es-ES_tradnl"/>
      </w:rPr>
    </w:pPr>
    <w:r w:rsidRPr="00123A06">
      <w:rPr>
        <w:rFonts w:asciiTheme="minorHAnsi" w:hAnsiTheme="minorHAnsi" w:cstheme="minorHAnsi"/>
        <w:b/>
        <w:iCs/>
        <w:color w:val="E6A21A"/>
        <w:sz w:val="18"/>
        <w:szCs w:val="18"/>
        <w:lang w:val="es-ES_tradnl"/>
      </w:rPr>
      <w:t>Comunicar la arquitectura: del origen de la modernidad a la era digital</w:t>
    </w:r>
  </w:p>
  <w:p w:rsidR="00A63D43" w:rsidRPr="00123A06" w:rsidRDefault="00F47CF4" w:rsidP="00F47CF4">
    <w:pPr>
      <w:pStyle w:val="Didefault"/>
      <w:jc w:val="right"/>
      <w:rPr>
        <w:rFonts w:asciiTheme="minorHAnsi" w:hAnsiTheme="minorHAnsi" w:cstheme="minorHAnsi"/>
        <w:iCs/>
        <w:color w:val="E6A21A"/>
        <w:sz w:val="18"/>
        <w:szCs w:val="18"/>
        <w:lang w:val="es-ES_tradnl"/>
      </w:rPr>
    </w:pPr>
    <w:r w:rsidRPr="00123A06">
      <w:rPr>
        <w:rFonts w:asciiTheme="minorHAnsi" w:hAnsiTheme="minorHAnsi" w:cstheme="minorHAnsi"/>
        <w:iCs/>
        <w:color w:val="E6A21A"/>
        <w:sz w:val="18"/>
        <w:szCs w:val="18"/>
        <w:lang w:val="es-ES_tradnl"/>
      </w:rPr>
      <w:t>Granada, Escuela Técnica Superior de Arquitectura, 24-26 enero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DC1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1617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CC7DD2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C402AE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135EA6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A7FD4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2B570F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7381A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773044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F555D7"/>
    <w:multiLevelType w:val="hybridMultilevel"/>
    <w:tmpl w:val="A3F22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7277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057B50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5762A5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6B3B48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4236BB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7E5834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E61EB5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AD0C88"/>
    <w:multiLevelType w:val="hybridMultilevel"/>
    <w:tmpl w:val="F886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09DB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B3721A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E027CC"/>
    <w:multiLevelType w:val="hybridMultilevel"/>
    <w:tmpl w:val="EABE10C4"/>
    <w:lvl w:ilvl="0" w:tplc="CF08DB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4446956">
    <w:abstractNumId w:val="13"/>
  </w:num>
  <w:num w:numId="2" w16cid:durableId="1247954585">
    <w:abstractNumId w:val="0"/>
  </w:num>
  <w:num w:numId="3" w16cid:durableId="1976905007">
    <w:abstractNumId w:val="10"/>
  </w:num>
  <w:num w:numId="4" w16cid:durableId="208152359">
    <w:abstractNumId w:val="19"/>
  </w:num>
  <w:num w:numId="5" w16cid:durableId="252476242">
    <w:abstractNumId w:val="15"/>
  </w:num>
  <w:num w:numId="6" w16cid:durableId="453865105">
    <w:abstractNumId w:val="2"/>
  </w:num>
  <w:num w:numId="7" w16cid:durableId="1472477670">
    <w:abstractNumId w:val="11"/>
  </w:num>
  <w:num w:numId="8" w16cid:durableId="1860847041">
    <w:abstractNumId w:val="7"/>
  </w:num>
  <w:num w:numId="9" w16cid:durableId="1306467990">
    <w:abstractNumId w:val="18"/>
  </w:num>
  <w:num w:numId="10" w16cid:durableId="836841464">
    <w:abstractNumId w:val="6"/>
  </w:num>
  <w:num w:numId="11" w16cid:durableId="1389722856">
    <w:abstractNumId w:val="12"/>
  </w:num>
  <w:num w:numId="12" w16cid:durableId="1946109110">
    <w:abstractNumId w:val="16"/>
  </w:num>
  <w:num w:numId="13" w16cid:durableId="1105421300">
    <w:abstractNumId w:val="5"/>
  </w:num>
  <w:num w:numId="14" w16cid:durableId="104352843">
    <w:abstractNumId w:val="3"/>
  </w:num>
  <w:num w:numId="15" w16cid:durableId="1388145395">
    <w:abstractNumId w:val="1"/>
  </w:num>
  <w:num w:numId="16" w16cid:durableId="1936285794">
    <w:abstractNumId w:val="4"/>
  </w:num>
  <w:num w:numId="17" w16cid:durableId="1188761213">
    <w:abstractNumId w:val="14"/>
  </w:num>
  <w:num w:numId="18" w16cid:durableId="6446244">
    <w:abstractNumId w:val="8"/>
  </w:num>
  <w:num w:numId="19" w16cid:durableId="2132438584">
    <w:abstractNumId w:val="20"/>
  </w:num>
  <w:num w:numId="20" w16cid:durableId="308558769">
    <w:abstractNumId w:val="17"/>
  </w:num>
  <w:num w:numId="21" w16cid:durableId="1059669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7"/>
    <w:rsid w:val="00020E45"/>
    <w:rsid w:val="00045FF5"/>
    <w:rsid w:val="000F7E83"/>
    <w:rsid w:val="00123A06"/>
    <w:rsid w:val="001244B0"/>
    <w:rsid w:val="00174B3D"/>
    <w:rsid w:val="0018020A"/>
    <w:rsid w:val="00190A9D"/>
    <w:rsid w:val="0019484B"/>
    <w:rsid w:val="001F600B"/>
    <w:rsid w:val="00216088"/>
    <w:rsid w:val="00236ACF"/>
    <w:rsid w:val="00261618"/>
    <w:rsid w:val="0026227E"/>
    <w:rsid w:val="00272607"/>
    <w:rsid w:val="002A0D7A"/>
    <w:rsid w:val="003003D5"/>
    <w:rsid w:val="0031371D"/>
    <w:rsid w:val="00317CC2"/>
    <w:rsid w:val="00355394"/>
    <w:rsid w:val="003E06FE"/>
    <w:rsid w:val="003E3A83"/>
    <w:rsid w:val="004137F4"/>
    <w:rsid w:val="0041474A"/>
    <w:rsid w:val="004208FB"/>
    <w:rsid w:val="00463162"/>
    <w:rsid w:val="00466C4A"/>
    <w:rsid w:val="004D075A"/>
    <w:rsid w:val="0051272D"/>
    <w:rsid w:val="00560591"/>
    <w:rsid w:val="0058703D"/>
    <w:rsid w:val="005A7FF1"/>
    <w:rsid w:val="005B67E7"/>
    <w:rsid w:val="005E4674"/>
    <w:rsid w:val="0062790E"/>
    <w:rsid w:val="00651A8B"/>
    <w:rsid w:val="006F1B4E"/>
    <w:rsid w:val="006F7783"/>
    <w:rsid w:val="0070663D"/>
    <w:rsid w:val="00713646"/>
    <w:rsid w:val="00713A82"/>
    <w:rsid w:val="007347FE"/>
    <w:rsid w:val="00770B74"/>
    <w:rsid w:val="007970DC"/>
    <w:rsid w:val="007A55FD"/>
    <w:rsid w:val="008054A3"/>
    <w:rsid w:val="00827A7C"/>
    <w:rsid w:val="00832219"/>
    <w:rsid w:val="00836597"/>
    <w:rsid w:val="00842ADE"/>
    <w:rsid w:val="00887320"/>
    <w:rsid w:val="00901859"/>
    <w:rsid w:val="0090255D"/>
    <w:rsid w:val="009031D4"/>
    <w:rsid w:val="00904B7F"/>
    <w:rsid w:val="009358E9"/>
    <w:rsid w:val="00974D8B"/>
    <w:rsid w:val="00996B36"/>
    <w:rsid w:val="009B548A"/>
    <w:rsid w:val="00A015B7"/>
    <w:rsid w:val="00A315FE"/>
    <w:rsid w:val="00A41639"/>
    <w:rsid w:val="00A41F27"/>
    <w:rsid w:val="00A42FC0"/>
    <w:rsid w:val="00A63D43"/>
    <w:rsid w:val="00A76E2B"/>
    <w:rsid w:val="00A853C4"/>
    <w:rsid w:val="00AE3436"/>
    <w:rsid w:val="00B11E01"/>
    <w:rsid w:val="00B352B1"/>
    <w:rsid w:val="00B621A8"/>
    <w:rsid w:val="00B828CA"/>
    <w:rsid w:val="00B9279F"/>
    <w:rsid w:val="00BA1A8E"/>
    <w:rsid w:val="00BD6780"/>
    <w:rsid w:val="00BE7A85"/>
    <w:rsid w:val="00BF67CC"/>
    <w:rsid w:val="00C247F4"/>
    <w:rsid w:val="00C42796"/>
    <w:rsid w:val="00C7488B"/>
    <w:rsid w:val="00CB64F0"/>
    <w:rsid w:val="00CE0E23"/>
    <w:rsid w:val="00D069D8"/>
    <w:rsid w:val="00D32C5F"/>
    <w:rsid w:val="00D62F1F"/>
    <w:rsid w:val="00E23EB3"/>
    <w:rsid w:val="00E47742"/>
    <w:rsid w:val="00EB2243"/>
    <w:rsid w:val="00EB74C2"/>
    <w:rsid w:val="00ED3AEC"/>
    <w:rsid w:val="00F0191D"/>
    <w:rsid w:val="00F40C48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Garamond" w:eastAsia="Garamond" w:hAnsi="Garamond" w:cs="Garamond"/>
      <w:sz w:val="24"/>
      <w:szCs w:val="24"/>
      <w:u w:val="single"/>
      <w:lang w:val="it-IT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Intestazioneepidipagina">
    <w:name w:val="Intestazione e piè di pagina"/>
    <w:rPr>
      <w:rFonts w:ascii="Helvetica Neue" w:eastAsia="Arial Unicode MS" w:hAnsi="Helvetica Neue" w:cs="Arial Unicode MS"/>
      <w:color w:val="000000"/>
      <w:sz w:val="24"/>
      <w:szCs w:val="24"/>
      <w:lang w:val="en-GB" w:eastAsia="zh-CN" w:bidi="hi-IN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kern w:val="2"/>
      <w:sz w:val="22"/>
      <w:szCs w:val="22"/>
      <w:u w:color="000000"/>
      <w:lang w:val="it-IT" w:eastAsia="zh-CN" w:bidi="hi-IN"/>
    </w:r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kern w:val="2"/>
      <w:sz w:val="22"/>
      <w:szCs w:val="22"/>
      <w:u w:color="000000"/>
      <w:lang w:val="it-IT" w:eastAsia="zh-CN" w:bidi="hi-IN"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Mencinsinresolver1">
    <w:name w:val="Mención sin resolver1"/>
    <w:uiPriority w:val="99"/>
    <w:semiHidden/>
    <w:unhideWhenUsed/>
    <w:rsid w:val="00836597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651A8B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358E9"/>
    <w:pPr>
      <w:suppressAutoHyphens w:val="0"/>
      <w:spacing w:after="120" w:line="288" w:lineRule="auto"/>
      <w:ind w:left="720"/>
      <w:contextualSpacing/>
      <w:jc w:val="both"/>
    </w:pPr>
    <w:rPr>
      <w:rFonts w:ascii="Arial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58703D"/>
    <w:rPr>
      <w:sz w:val="24"/>
      <w:szCs w:val="24"/>
      <w:lang w:val="en-US" w:eastAsia="zh-CN"/>
    </w:rPr>
  </w:style>
  <w:style w:type="character" w:customStyle="1" w:styleId="EncabezadoCar">
    <w:name w:val="Encabezado Car"/>
    <w:link w:val="Encabezado"/>
    <w:uiPriority w:val="99"/>
    <w:rsid w:val="003E3A83"/>
    <w:rPr>
      <w:sz w:val="24"/>
      <w:szCs w:val="24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CB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polp.12005/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10454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mailto:congresso@storiaurbana.org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http://hdl.handle.net/10481/55336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2023-01-24T14:27:00Z</dcterms:created>
  <dcterms:modified xsi:type="dcterms:W3CDTF">2023-01-24T14:28:00Z</dcterms:modified>
</cp:coreProperties>
</file>